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color w:val="000422"/>
          <w:sz w:val="24"/>
          <w:szCs w:val="24"/>
        </w:rPr>
        <w:pBdr>
          <w:left w:val="none" w:sz="0" w:space="0" w:color="auto"/>
          <w:top w:val="none" w:sz="0" w:space="2" w:color="auto"/>
          <w:right w:val="none" w:sz="0" w:space="0" w:color="auto"/>
          <w:bottom w:val="none" w:sz="0" w:space="2" w:color="auto"/>
          <w:between w:val="none" w:sz="0" w:space="2" w:color="auto"/>
        </w:pBdr>
      </w:pPr>
      <w:r>
        <w:rPr>
          <w:b/>
          <w:color w:val="000422"/>
          <w:sz w:val="24"/>
          <w:szCs w:val="24"/>
          <w:rtl w:val="false"/>
        </w:rPr>
        <w:t xml:space="preserve">Процедура согласования вывески.</w:t>
      </w:r>
      <w:r/>
    </w:p>
    <w:p>
      <w:pPr>
        <w:rPr>
          <w:color w:val="000422"/>
          <w:sz w:val="24"/>
          <w:szCs w:val="24"/>
          <w:u w:val="single"/>
        </w:rPr>
        <w:pBdr>
          <w:left w:val="none" w:sz="0" w:space="0" w:color="auto"/>
          <w:top w:val="none" w:sz="0" w:space="2" w:color="auto"/>
          <w:right w:val="none" w:sz="0" w:space="0" w:color="auto"/>
          <w:bottom w:val="none" w:sz="0" w:space="2" w:color="auto"/>
          <w:between w:val="none" w:sz="0" w:space="2" w:color="auto"/>
        </w:pBdr>
      </w:pPr>
      <w:r>
        <w:rPr>
          <w:color w:val="000422"/>
          <w:sz w:val="24"/>
          <w:szCs w:val="24"/>
          <w:u w:val="single"/>
          <w:rtl w:val="false"/>
        </w:rPr>
        <w:t xml:space="preserve">Список документов:</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000422"/>
          <w:sz w:val="24"/>
          <w:szCs w:val="24"/>
          <w:highlight w:val="white"/>
          <w:rtl w:val="false"/>
        </w:rPr>
        <w:t xml:space="preserve">- Копия свидетельства о регистрации предпринимателя/ООО и копия документа, подтверждающего личность заявителя,</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000422"/>
          <w:sz w:val="24"/>
          <w:szCs w:val="24"/>
          <w:highlight w:val="white"/>
          <w:rtl w:val="false"/>
        </w:rPr>
        <w:t xml:space="preserve">- Дизайн-макет и проектная документация рекламной конструкции (</w:t>
      </w:r>
      <w:r>
        <w:rPr>
          <w:b/>
          <w:color w:val="000422"/>
          <w:sz w:val="24"/>
          <w:szCs w:val="24"/>
          <w:highlight w:val="white"/>
          <w:rtl w:val="false"/>
        </w:rPr>
        <w:t xml:space="preserve">обратите внимание:</w:t>
      </w:r>
      <w:r>
        <w:rPr>
          <w:color w:val="000422"/>
          <w:sz w:val="24"/>
          <w:szCs w:val="24"/>
          <w:highlight w:val="white"/>
          <w:rtl w:val="false"/>
        </w:rPr>
        <w:t xml:space="preserve"> это не картинка, которую делает дизайнер, а пакет документов по госстандарту, выполненный проектной мастерской, имеющей разрешение на такой вид работ, стоимость проекта зависит от вида вывески и места установки),</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000422"/>
          <w:sz w:val="24"/>
          <w:szCs w:val="24"/>
          <w:highlight w:val="white"/>
          <w:rtl w:val="false"/>
        </w:rPr>
        <w:t xml:space="preserve">- Копия документов, подтверждающих право собственности на объект, где будет установлена вывеска либо копия свидетельства о праве владения помещения/земли от собственника,</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000422"/>
          <w:sz w:val="24"/>
          <w:szCs w:val="24"/>
          <w:highlight w:val="white"/>
          <w:rtl w:val="false"/>
        </w:rPr>
        <w:t xml:space="preserve">- Договор об аренде с собственником недвижимости, где будет установлена вывеска и его письменное согласие на установку,</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000422"/>
          <w:sz w:val="24"/>
          <w:szCs w:val="24"/>
          <w:highlight w:val="white"/>
          <w:rtl w:val="false"/>
        </w:rPr>
        <w:t xml:space="preserve">- Заявление на имя руководителя администрации.</w:t>
      </w:r>
      <w:r/>
    </w:p>
    <w:p>
      <w:pPr>
        <w:rPr>
          <w:color w:val="000422"/>
          <w:sz w:val="24"/>
          <w:szCs w:val="24"/>
          <w:highlight w:val="white"/>
        </w:rPr>
        <w:pBdr>
          <w:left w:val="none" w:sz="0" w:space="0" w:color="auto"/>
          <w:top w:val="none" w:sz="0" w:space="2" w:color="auto"/>
          <w:right w:val="none" w:sz="0" w:space="0" w:color="auto"/>
          <w:bottom w:val="none" w:sz="0" w:space="2" w:color="auto"/>
          <w:between w:val="none" w:sz="0" w:space="2" w:color="auto"/>
        </w:pBdr>
      </w:pPr>
      <w:r>
        <w:rPr>
          <w:color w:val="242424"/>
          <w:sz w:val="24"/>
          <w:szCs w:val="24"/>
          <w:rtl w:val="false"/>
        </w:rPr>
        <w:t xml:space="preserve">К пакету документов необходимо приложить квитанцию об уплате госпошлины, 5 000 рублей для Нижнего Новгорода.</w:t>
      </w:r>
      <w:r>
        <w:rPr>
          <w:rtl w:val="false"/>
        </w:rPr>
      </w:r>
      <w:r/>
    </w:p>
    <w:p>
      <w:pPr>
        <w:rPr>
          <w:color w:val="242424"/>
          <w:sz w:val="24"/>
          <w:szCs w:val="24"/>
        </w:rPr>
        <w:pBdr>
          <w:left w:val="none" w:sz="0" w:space="0" w:color="auto"/>
          <w:top w:val="none" w:sz="0" w:space="2" w:color="auto"/>
          <w:right w:val="none" w:sz="0" w:space="0" w:color="auto"/>
          <w:bottom w:val="none" w:sz="0" w:space="2" w:color="auto"/>
          <w:between w:val="none" w:sz="0" w:space="2" w:color="auto"/>
        </w:pBdr>
      </w:pPr>
      <w:r>
        <w:rPr>
          <w:color w:val="242424"/>
          <w:sz w:val="24"/>
          <w:szCs w:val="24"/>
          <w:rtl w:val="false"/>
        </w:rPr>
        <w:t xml:space="preserve">Принять заявку могут в </w:t>
      </w:r>
      <w:r>
        <w:rPr>
          <w:color w:val="14171E"/>
          <w:sz w:val="24"/>
          <w:szCs w:val="24"/>
          <w:rtl w:val="false"/>
        </w:rPr>
        <w:t xml:space="preserve">Д</w:t>
      </w:r>
      <w:r>
        <w:rPr>
          <w:color w:val="14171E"/>
          <w:sz w:val="24"/>
          <w:szCs w:val="24"/>
          <w:rtl w:val="false"/>
        </w:rPr>
        <w:t xml:space="preserve">епартаменте градостроительного развития и архитектуры</w:t>
      </w:r>
      <w:r>
        <w:rPr>
          <w:color w:val="242424"/>
          <w:sz w:val="24"/>
          <w:szCs w:val="24"/>
          <w:rtl w:val="false"/>
        </w:rPr>
        <w:t xml:space="preserve">, МФЦ или в электронной форме на портале Госуслуг.</w:t>
      </w:r>
      <w:r/>
    </w:p>
    <w:p>
      <w:pPr>
        <w:rPr>
          <w:color w:val="242424"/>
          <w:sz w:val="24"/>
          <w:szCs w:val="24"/>
        </w:rPr>
        <w:pBdr>
          <w:left w:val="none" w:sz="0" w:space="0" w:color="auto"/>
          <w:top w:val="none" w:sz="0" w:space="2" w:color="auto"/>
          <w:right w:val="none" w:sz="0" w:space="0" w:color="auto"/>
          <w:bottom w:val="none" w:sz="0" w:space="2" w:color="auto"/>
          <w:between w:val="none" w:sz="0" w:space="2" w:color="auto"/>
        </w:pBdr>
      </w:pPr>
      <w:r>
        <w:rPr>
          <w:color w:val="242424"/>
          <w:sz w:val="24"/>
          <w:szCs w:val="24"/>
          <w:rtl w:val="false"/>
        </w:rPr>
        <w:t xml:space="preserve">Срок рассмотрения заявки до 60 календарных дней.</w:t>
      </w:r>
      <w:r/>
    </w:p>
    <w:p>
      <w:pPr>
        <w:rPr>
          <w:color w:val="242424"/>
          <w:sz w:val="24"/>
          <w:szCs w:val="24"/>
        </w:rPr>
        <w:pBdr>
          <w:left w:val="none" w:sz="0" w:space="0" w:color="auto"/>
          <w:top w:val="none" w:sz="0" w:space="2" w:color="auto"/>
          <w:right w:val="none" w:sz="0" w:space="0" w:color="auto"/>
          <w:bottom w:val="none" w:sz="0" w:space="2" w:color="auto"/>
          <w:between w:val="none" w:sz="0" w:space="2" w:color="auto"/>
        </w:pBdr>
      </w:pPr>
      <w:r>
        <w:rPr>
          <w:rtl w:val="false"/>
        </w:rPr>
      </w:r>
      <w:r/>
    </w:p>
    <w:p>
      <w:pPr>
        <w:rPr>
          <w:b/>
          <w:color w:val="242424"/>
          <w:sz w:val="24"/>
          <w:szCs w:val="24"/>
        </w:rPr>
        <w:pBdr>
          <w:left w:val="none" w:sz="0" w:space="0" w:color="auto"/>
          <w:top w:val="none" w:sz="0" w:space="2" w:color="auto"/>
          <w:right w:val="none" w:sz="0" w:space="0" w:color="auto"/>
          <w:bottom w:val="none" w:sz="0" w:space="2" w:color="auto"/>
          <w:between w:val="none" w:sz="0" w:space="2" w:color="auto"/>
        </w:pBdr>
      </w:pPr>
      <w:r>
        <w:rPr>
          <w:b/>
          <w:color w:val="242424"/>
          <w:sz w:val="24"/>
          <w:szCs w:val="24"/>
          <w:rtl w:val="false"/>
        </w:rPr>
        <w:t xml:space="preserve">Технические требования.</w:t>
      </w:r>
      <w:r/>
    </w:p>
    <w:p>
      <w:pPr>
        <w:rPr>
          <w:color w:val="242424"/>
          <w:sz w:val="24"/>
          <w:szCs w:val="24"/>
        </w:rPr>
        <w:pBdr>
          <w:left w:val="none" w:sz="0" w:space="0" w:color="auto"/>
          <w:top w:val="none" w:sz="0" w:space="2" w:color="auto"/>
          <w:right w:val="none" w:sz="0" w:space="0" w:color="auto"/>
          <w:bottom w:val="none" w:sz="0" w:space="2" w:color="auto"/>
          <w:between w:val="none" w:sz="0" w:space="2" w:color="auto"/>
        </w:pBdr>
      </w:pPr>
      <w:r>
        <w:rPr>
          <w:rtl w:val="false"/>
        </w:rPr>
      </w:r>
      <w:r/>
    </w:p>
    <w:p>
      <w:pPr>
        <w:rPr>
          <w:sz w:val="24"/>
          <w:szCs w:val="24"/>
          <w:highlight w:val="white"/>
        </w:rPr>
        <w:pBdr>
          <w:left w:val="none" w:sz="0" w:space="0" w:color="auto"/>
          <w:top w:val="none" w:sz="0" w:space="2" w:color="auto"/>
          <w:right w:val="none" w:sz="0" w:space="0" w:color="auto"/>
          <w:bottom w:val="none" w:sz="0" w:space="2" w:color="auto"/>
          <w:between w:val="none" w:sz="0" w:space="2" w:color="auto"/>
        </w:pBdr>
      </w:pPr>
      <w:r>
        <w:rPr>
          <w:sz w:val="24"/>
          <w:szCs w:val="24"/>
          <w:rtl w:val="false"/>
        </w:rPr>
        <w:t xml:space="preserve">1.</w:t>
      </w:r>
      <w:r>
        <w:rPr>
          <w:sz w:val="24"/>
          <w:szCs w:val="24"/>
          <w:u w:val="single"/>
          <w:rtl w:val="false"/>
        </w:rPr>
        <w:t xml:space="preserve"> </w:t>
      </w:r>
      <w:r>
        <w:rPr>
          <w:sz w:val="24"/>
          <w:szCs w:val="24"/>
          <w:highlight w:val="white"/>
          <w:u w:val="single"/>
          <w:rtl w:val="false"/>
        </w:rPr>
        <w:t xml:space="preserve">Рекламные конструкции на остановках общественного транспорта</w:t>
      </w:r>
      <w:r>
        <w:rPr>
          <w:sz w:val="24"/>
          <w:szCs w:val="24"/>
          <w:highlight w:val="white"/>
          <w:rtl w:val="false"/>
        </w:rPr>
        <w:t xml:space="preserve">. Это рекламные конст</w:t>
      </w:r>
      <w:r>
        <w:rPr>
          <w:sz w:val="24"/>
          <w:szCs w:val="24"/>
          <w:highlight w:val="white"/>
          <w:rtl w:val="false"/>
        </w:rPr>
        <w:t xml:space="preserve">рукции малого (до 6 м кв), среднего (6-15 м кв) и большого (15-18 м кв) формата, конструктивно связанные с элементами конструктивных частей остановочных пунктов общественного транспорта. Фундаменты рекламных конструкций на остановочных пунктах не должны вы</w:t>
      </w:r>
      <w:r>
        <w:rPr>
          <w:sz w:val="24"/>
          <w:szCs w:val="24"/>
          <w:highlight w:val="white"/>
          <w:rtl w:val="false"/>
        </w:rPr>
        <w:t xml:space="preserve">ступать над уровнем покрытия тротуара. Рекламные конструкции на остановочных пунктах должны быть с внешним или внутренним подсветом, оборудованы системой аварийного отключения от сети электропитания и соответствовать требованиям пожарной безопасности.     </w:t>
      </w:r>
      <w:r/>
    </w:p>
    <w:p>
      <w:pPr>
        <w:rPr>
          <w:sz w:val="24"/>
          <w:szCs w:val="24"/>
          <w:highlight w:val="white"/>
        </w:rPr>
        <w:pBdr>
          <w:left w:val="none" w:sz="0" w:space="0" w:color="auto"/>
          <w:top w:val="none" w:sz="0" w:space="2" w:color="auto"/>
          <w:right w:val="none" w:sz="0" w:space="0" w:color="auto"/>
          <w:bottom w:val="none" w:sz="0" w:space="2" w:color="auto"/>
          <w:between w:val="none" w:sz="0" w:space="2" w:color="auto"/>
        </w:pBdr>
      </w:pPr>
      <w:r>
        <w:rPr>
          <w:sz w:val="24"/>
          <w:szCs w:val="24"/>
          <w:highlight w:val="white"/>
          <w:rtl w:val="false"/>
        </w:rPr>
        <w:t xml:space="preserve">2. </w:t>
      </w:r>
      <w:r>
        <w:rPr>
          <w:sz w:val="24"/>
          <w:szCs w:val="24"/>
          <w:highlight w:val="white"/>
          <w:u w:val="single"/>
          <w:rtl w:val="false"/>
        </w:rPr>
        <w:t xml:space="preserve">Указатели с рекламным модулем.</w:t>
      </w:r>
      <w:r>
        <w:rPr>
          <w:sz w:val="24"/>
          <w:szCs w:val="24"/>
          <w:highlight w:val="white"/>
          <w:rtl w:val="false"/>
        </w:rPr>
        <w:t xml:space="preserve"> Это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w:t>
      </w:r>
      <w:r>
        <w:rPr>
          <w:sz w:val="24"/>
          <w:szCs w:val="24"/>
          <w:highlight w:val="white"/>
          <w:rtl w:val="false"/>
        </w:rPr>
        <w:t xml:space="preserve">исполняться</w:t>
      </w:r>
      <w:r>
        <w:rPr>
          <w:sz w:val="24"/>
          <w:szCs w:val="24"/>
          <w:highlight w:val="white"/>
          <w:rtl w:val="false"/>
        </w:rPr>
        <w:t xml:space="preserve"> в двустороннем варианте. Максимальный размер рекламного модуля не должен превышать 1,2x1,8 м. Площадь информационного поля указателя с рекламным модулем определяется общей площадью двух сторон его рекламног</w:t>
      </w:r>
      <w:r>
        <w:rPr>
          <w:sz w:val="24"/>
          <w:szCs w:val="24"/>
          <w:highlight w:val="white"/>
          <w:rtl w:val="false"/>
        </w:rPr>
        <w:t xml:space="preserve">о модуля. Фундамент указателя допускается в двух вариантах: заглубляемый, не выступающий над уровнем дорожного покрытия, и незаглубленный. В случае использования незаглубленного фундамента он в обязательном порядке облицовывается композитным материалом по </w:t>
      </w:r>
      <w:r>
        <w:rPr>
          <w:sz w:val="24"/>
          <w:szCs w:val="24"/>
          <w:highlight w:val="white"/>
          <w:rtl w:val="false"/>
        </w:rPr>
        <w:t xml:space="preserve">специальной форме, соответствующей дизайну указателя, или выполняется в виде чугунного литья. Указатели с рекламными модулями должны быть оборудованы системой аварийного отключения от сети электропитания и соответствовать требованиям пожарной безопасности.</w:t>
      </w:r>
      <w:r/>
    </w:p>
    <w:p>
      <w:pPr>
        <w:rPr>
          <w:sz w:val="24"/>
          <w:szCs w:val="24"/>
          <w:highlight w:val="white"/>
        </w:rPr>
        <w:pBdr>
          <w:left w:val="none" w:sz="0" w:space="0" w:color="auto"/>
          <w:top w:val="none" w:sz="0" w:space="2" w:color="auto"/>
          <w:right w:val="none" w:sz="0" w:space="0" w:color="auto"/>
          <w:bottom w:val="none" w:sz="0" w:space="2" w:color="auto"/>
          <w:between w:val="none" w:sz="0" w:space="2" w:color="auto"/>
        </w:pBdr>
      </w:pPr>
      <w:r>
        <w:rPr>
          <w:sz w:val="24"/>
          <w:szCs w:val="24"/>
          <w:highlight w:val="white"/>
          <w:rtl w:val="false"/>
        </w:rPr>
        <w:t xml:space="preserve">3. </w:t>
      </w:r>
      <w:r>
        <w:rPr>
          <w:sz w:val="24"/>
          <w:szCs w:val="24"/>
          <w:highlight w:val="white"/>
          <w:u w:val="single"/>
          <w:rtl w:val="false"/>
        </w:rPr>
        <w:t xml:space="preserve">Скамейки с рекламными модулями.</w:t>
      </w:r>
      <w:r>
        <w:rPr>
          <w:sz w:val="24"/>
          <w:szCs w:val="24"/>
          <w:highlight w:val="white"/>
          <w:rtl w:val="false"/>
        </w:rPr>
        <w:t xml:space="preserve"> Это отдельно стоящие ре</w:t>
      </w:r>
      <w:r>
        <w:rPr>
          <w:sz w:val="24"/>
          <w:szCs w:val="24"/>
          <w:highlight w:val="white"/>
          <w:rtl w:val="false"/>
        </w:rPr>
        <w:t xml:space="preserve">кламные конструкции малого формата, имеющие рекламные поверхности, монтируемые на конструктивных элементах скамеек. Размеры информационного поля рекламного модуля могут быть от 0,5x1,5 м до 0,7x1,8 м. Рекламная поверхность имеет одну сторону без подсветки.</w:t>
      </w:r>
      <w:r/>
    </w:p>
    <w:p>
      <w:pPr>
        <w:rPr>
          <w:sz w:val="24"/>
          <w:szCs w:val="24"/>
          <w:highlight w:val="white"/>
        </w:rPr>
        <w:pBdr>
          <w:left w:val="none" w:sz="0" w:space="0" w:color="auto"/>
          <w:top w:val="none" w:sz="0" w:space="2" w:color="auto"/>
          <w:right w:val="none" w:sz="0" w:space="0" w:color="auto"/>
          <w:bottom w:val="none" w:sz="0" w:space="2" w:color="auto"/>
          <w:between w:val="none" w:sz="0" w:space="2" w:color="auto"/>
        </w:pBdr>
      </w:pPr>
      <w:r>
        <w:rPr>
          <w:sz w:val="24"/>
          <w:szCs w:val="24"/>
          <w:highlight w:val="white"/>
          <w:rtl w:val="false"/>
        </w:rPr>
        <w:t xml:space="preserve">4. </w:t>
      </w:r>
      <w:r>
        <w:rPr>
          <w:sz w:val="24"/>
          <w:szCs w:val="24"/>
          <w:highlight w:val="white"/>
          <w:u w:val="single"/>
          <w:rtl w:val="false"/>
        </w:rPr>
        <w:t xml:space="preserve">Сити-форматы</w:t>
      </w:r>
      <w:r>
        <w:rPr>
          <w:sz w:val="24"/>
          <w:szCs w:val="24"/>
          <w:highlight w:val="white"/>
          <w:rtl w:val="false"/>
        </w:rPr>
        <w:t xml:space="preserve">. Это </w:t>
      </w:r>
      <w:r>
        <w:rPr>
          <w:sz w:val="24"/>
          <w:szCs w:val="24"/>
          <w:highlight w:val="white"/>
          <w:rtl w:val="false"/>
        </w:rPr>
        <w:t xml:space="preserve">отдельно стоящие двухсторонние рекламные конструкции малого формата с двумя информационными полями, размещаемые на тротуарах или на прилегающих к троту</w:t>
      </w:r>
      <w:r>
        <w:rPr>
          <w:sz w:val="24"/>
          <w:szCs w:val="24"/>
          <w:highlight w:val="white"/>
          <w:rtl w:val="false"/>
        </w:rPr>
        <w:t xml:space="preserve">арам газонах. Размер информационного поля каждой стороны рекламной конструкции сити-формата составляет 1,2x1,8 м. Площадь информационного поля рекламной конструкции сити-формата определяется общей площадью двух его сторон. Фундаменты рекламных конструкций </w:t>
      </w:r>
      <w:r>
        <w:rPr>
          <w:sz w:val="24"/>
          <w:szCs w:val="24"/>
          <w:highlight w:val="white"/>
          <w:rtl w:val="false"/>
        </w:rPr>
        <w:t xml:space="preserve">сити-формата не должны выступать над уровнем дорожного покрытия. Рекламные конструкции сити-формата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r>
        <w:rPr>
          <w:rtl w:val="false"/>
        </w:rPr>
      </w:r>
      <w:r/>
    </w:p>
    <w:p>
      <w:pPr>
        <w:rPr>
          <w:sz w:val="24"/>
          <w:szCs w:val="24"/>
        </w:rPr>
      </w:pPr>
      <w:r>
        <w:rPr>
          <w:sz w:val="24"/>
          <w:szCs w:val="24"/>
          <w:rtl w:val="false"/>
        </w:rPr>
        <w:t xml:space="preserve">5. </w:t>
      </w:r>
      <w:r>
        <w:rPr>
          <w:sz w:val="24"/>
          <w:szCs w:val="24"/>
          <w:u w:val="single"/>
          <w:rtl w:val="false"/>
        </w:rPr>
        <w:t xml:space="preserve">Афишные стенды.</w:t>
      </w:r>
      <w:r>
        <w:rPr>
          <w:sz w:val="24"/>
          <w:szCs w:val="24"/>
          <w:rtl w:val="false"/>
        </w:rPr>
        <w:t xml:space="preserve"> Это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w:t>
      </w:r>
      <w:r>
        <w:rPr>
          <w:sz w:val="24"/>
          <w:szCs w:val="24"/>
          <w:rtl w:val="false"/>
        </w:rPr>
        <w:t xml:space="preserve">формационного поля афишного стенда составляет 1,8 x 1,75 м. Площадь информационного поля афишного стенда определяется общей площадью его эксплуатируемых сторон. Фундамент афишного стенда допускается в двух вариантах: заглубляемый, не выступающий над уровне</w:t>
      </w:r>
      <w:r>
        <w:rPr>
          <w:sz w:val="24"/>
          <w:szCs w:val="24"/>
          <w:rtl w:val="false"/>
        </w:rPr>
        <w:t xml:space="preserve">м дорожного покрытия, и незаглубленный. В случае использования незаглубленного фундамента он в обязательном порядке облицовывается композитным материалом по специальной форме, соответствующей дизайну афишного стенда. Афишные стенды не имеют подсветки.     </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Афишные стенды предназначены для размещения рекламы и информации исключительно о репертуарах театров, кинотеат</w:t>
      </w:r>
      <w:r>
        <w:rPr>
          <w:sz w:val="24"/>
          <w:szCs w:val="24"/>
          <w:rtl w:val="false"/>
        </w:rPr>
        <w:t xml:space="preserve">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6. </w:t>
      </w:r>
      <w:r>
        <w:rPr>
          <w:sz w:val="24"/>
          <w:szCs w:val="24"/>
          <w:u w:val="single"/>
          <w:rtl w:val="false"/>
        </w:rPr>
        <w:t xml:space="preserve">Тумбы.</w:t>
      </w:r>
      <w:r>
        <w:rPr>
          <w:sz w:val="24"/>
          <w:szCs w:val="24"/>
          <w:rtl w:val="false"/>
        </w:rPr>
        <w:t xml:space="preserve"> Это -отдельно стоящие рекламные конструкции малого формата с внутренним подсветом, имеющие форму цилиндра и три внешние поверхности с информационными полями размером 1,4 м x 3,0 м для размещения рекламы.</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Площадь информационного поля</w:t>
      </w:r>
      <w:r>
        <w:rPr>
          <w:sz w:val="24"/>
          <w:szCs w:val="24"/>
          <w:rtl w:val="false"/>
        </w:rPr>
        <w:t xml:space="preserve"> тумбы определяется общей площадью трех ее сторон. Фундаменты тумбы не должны выступать над уровнем дорожного покрытия. Тумбы должны быть оборудованы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7. </w:t>
      </w:r>
      <w:r>
        <w:rPr>
          <w:sz w:val="24"/>
          <w:szCs w:val="24"/>
          <w:u w:val="single"/>
          <w:rtl w:val="false"/>
        </w:rPr>
        <w:t xml:space="preserve">Пиллары.</w:t>
      </w:r>
      <w:r>
        <w:rPr>
          <w:sz w:val="24"/>
          <w:szCs w:val="24"/>
          <w:rtl w:val="false"/>
        </w:rPr>
        <w:t xml:space="preserve"> Это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 поля размером 1,4 м x 3,0 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Площадь информационного поля пилларов опреде</w:t>
      </w:r>
      <w:r>
        <w:rPr>
          <w:sz w:val="24"/>
          <w:szCs w:val="24"/>
          <w:rtl w:val="false"/>
        </w:rPr>
        <w:t xml:space="preserve">ляется общей площадью двух (для двухсторонних пилларов) или трех (для трехсторонних пилларов) эксплуатируемых сторон. Пиллары должны быть оборудованы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color w:val="444444"/>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8. </w:t>
      </w:r>
      <w:r>
        <w:rPr>
          <w:sz w:val="24"/>
          <w:szCs w:val="24"/>
          <w:u w:val="single"/>
          <w:rtl w:val="false"/>
        </w:rPr>
        <w:t xml:space="preserve">Сити-борды. </w:t>
      </w:r>
      <w:r>
        <w:rPr>
          <w:sz w:val="24"/>
          <w:szCs w:val="24"/>
          <w:rtl w:val="false"/>
        </w:rPr>
        <w:t xml:space="preserve">Это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Состоят из фундамента, каркаса, опоры и информационного поля. Площ</w:t>
      </w:r>
      <w:r>
        <w:rPr>
          <w:sz w:val="24"/>
          <w:szCs w:val="24"/>
          <w:rtl w:val="false"/>
        </w:rPr>
        <w:t xml:space="preserve">адь информационного поля сити-борда определяется общей площадью его эксплуатируемых сторон. Размер одной стороны информационного поля сити-борда составляет 3,7х2,7 м. Фундамент сити-борда не должен выступать над уровнем дорожного покрытия, газона. Сити-бор</w:t>
      </w:r>
      <w:r>
        <w:rPr>
          <w:sz w:val="24"/>
          <w:szCs w:val="24"/>
          <w:rtl w:val="false"/>
        </w:rPr>
        <w:t xml:space="preserve">ды, имеющие только одну поверхность для размещения рекламы, должны иметь декоративно оформленную обратную сторону. Сити-борды должны быть оборудованы системой аварийного отключения от сети электропитания и соответствовать требованиям пожарной безопасности.</w:t>
      </w:r>
      <w:r>
        <w:rPr>
          <w:rtl w:val="false"/>
        </w:rPr>
      </w:r>
      <w:r/>
    </w:p>
    <w:p>
      <w:pPr>
        <w:ind w:left="0" w:firstLine="0"/>
        <w:shd w:val="clear" w:fill="FFFFFF" w:color="auto"/>
        <w:rPr>
          <w:color w:val="444444"/>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9. </w:t>
      </w:r>
      <w:r>
        <w:rPr>
          <w:sz w:val="24"/>
          <w:szCs w:val="24"/>
          <w:u w:val="single"/>
          <w:rtl w:val="false"/>
        </w:rPr>
        <w:t xml:space="preserve">Щиты 3х4 м.</w:t>
      </w:r>
      <w:r>
        <w:rPr>
          <w:sz w:val="24"/>
          <w:szCs w:val="24"/>
          <w:rtl w:val="false"/>
        </w:rPr>
        <w:t xml:space="preserve"> Это отдельно стоящие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w:t>
      </w:r>
      <w:r>
        <w:rPr>
          <w:sz w:val="24"/>
          <w:szCs w:val="24"/>
          <w:rtl w:val="false"/>
        </w:rPr>
        <w:t xml:space="preserve">ером 4x3 м. Площадь информационного поля щита определяется общей площадью его эксплуатируемых сторон. Количество сторон щита не может быть более двух. Фундамент щита не должен выступать над уровнем дорожного покрытия, газона. Щиты, имеющие только одну пове</w:t>
      </w:r>
      <w:r>
        <w:rPr>
          <w:sz w:val="24"/>
          <w:szCs w:val="24"/>
          <w:rtl w:val="false"/>
        </w:rPr>
        <w:t xml:space="preserve">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r>
        <w:rPr>
          <w:rtl w:val="false"/>
        </w:rPr>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10. </w:t>
      </w:r>
      <w:r>
        <w:rPr>
          <w:sz w:val="24"/>
          <w:szCs w:val="24"/>
          <w:u w:val="single"/>
          <w:rtl w:val="false"/>
        </w:rPr>
        <w:t xml:space="preserve">Щиты 6x3 м.</w:t>
      </w:r>
      <w:r>
        <w:rPr>
          <w:sz w:val="24"/>
          <w:szCs w:val="24"/>
          <w:rtl w:val="false"/>
        </w:rPr>
        <w:t xml:space="preserve"> Это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w:t>
      </w:r>
      <w:r>
        <w:rPr>
          <w:sz w:val="24"/>
          <w:szCs w:val="24"/>
          <w:rtl w:val="false"/>
        </w:rPr>
        <w:t xml:space="preserve">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w:t>
      </w:r>
      <w:r>
        <w:rPr>
          <w:sz w:val="24"/>
          <w:szCs w:val="24"/>
          <w:rtl w:val="false"/>
        </w:rPr>
        <w:t xml:space="preserve">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11. </w:t>
      </w:r>
      <w:r>
        <w:rPr>
          <w:sz w:val="24"/>
          <w:szCs w:val="24"/>
          <w:u w:val="single"/>
          <w:rtl w:val="false"/>
        </w:rPr>
        <w:t xml:space="preserve">Суперборды и Суперсайты.</w:t>
      </w:r>
      <w:r>
        <w:rPr>
          <w:sz w:val="24"/>
          <w:szCs w:val="24"/>
          <w:rtl w:val="false"/>
        </w:rPr>
        <w:t xml:space="preserve"> Это отдельно стоящие щитовые рекламные конструкции </w:t>
      </w:r>
      <w:r>
        <w:rPr>
          <w:sz w:val="24"/>
          <w:szCs w:val="24"/>
          <w:rtl w:val="false"/>
        </w:rPr>
        <w:t xml:space="preserve">крупного формата, имеющие внешние поверхности, специально предназначенные для размещения рекламы. Суперборды и Суперсайты состоят из фундамента, каркаса, опоры и информационного поля. Суперборды и Суперсайты должны иметь внутренний или внешний подсвет. Раз</w:t>
      </w:r>
      <w:r>
        <w:rPr>
          <w:sz w:val="24"/>
          <w:szCs w:val="24"/>
          <w:rtl w:val="false"/>
        </w:rPr>
        <w:t xml:space="preserve">мер одной стороны информационного поля Суперборда составляет 12х4 м. Размер одной стороны информационного поля Суперсайта составляет 15х5 м. Площадь информационного поля Суперборда и Суперсайта определяется общей площадью их сторон. Количество сторон Супер</w:t>
      </w:r>
      <w:r>
        <w:rPr>
          <w:sz w:val="24"/>
          <w:szCs w:val="24"/>
          <w:rtl w:val="false"/>
        </w:rPr>
        <w:t xml:space="preserve">борда не может быть более двух. Количество сторон Суперсайта не может быть более трех. Фундамент Суперборда и Суперсайта не может выступать над уровнем дорожного покрытия или уровнем земли. Суперборд и Суперсайт, имеющие только одну поверхность для размеще</w:t>
      </w:r>
      <w:r>
        <w:rPr>
          <w:sz w:val="24"/>
          <w:szCs w:val="24"/>
          <w:rtl w:val="false"/>
        </w:rPr>
        <w:t xml:space="preserve">ния рекламы, должны иметь декоративно оформленную обратную сторону. Суперборды и суперсайты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12. </w:t>
      </w:r>
      <w:r>
        <w:rPr>
          <w:sz w:val="24"/>
          <w:szCs w:val="24"/>
          <w:u w:val="single"/>
          <w:rtl w:val="false"/>
        </w:rPr>
        <w:t xml:space="preserve">Уникальные (нестандартные) рекламные конструкции</w:t>
      </w:r>
      <w:r>
        <w:rPr>
          <w:sz w:val="24"/>
          <w:szCs w:val="24"/>
          <w:rtl w:val="false"/>
        </w:rPr>
        <w:t xml:space="preserve">, выполненные по индивидуальным проектам.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u w:val="single"/>
          <w:rtl w:val="false"/>
        </w:rPr>
        <w:t xml:space="preserve">Проекционные установки </w:t>
      </w:r>
      <w:r>
        <w:rPr>
          <w:sz w:val="24"/>
          <w:szCs w:val="24"/>
          <w:rtl w:val="false"/>
        </w:rPr>
        <w:t xml:space="preserve">- рекламные конструкции, предназначенные для воспроизведения изображения на земле, на плоскостях стен и в объеме, состоящие из проециру</w:t>
      </w:r>
      <w:r>
        <w:rPr>
          <w:sz w:val="24"/>
          <w:szCs w:val="24"/>
          <w:rtl w:val="false"/>
        </w:rPr>
        <w:t xml:space="preserve">ющего устройства и поверхности (экрана) или объема, в котором формируется рекламное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u w:val="single"/>
          <w:rtl w:val="false"/>
        </w:rPr>
        <w:t xml:space="preserve">Объемно-пространственные конструкции</w:t>
      </w:r>
      <w:r>
        <w:rPr>
          <w:sz w:val="24"/>
          <w:szCs w:val="24"/>
          <w:rtl w:val="false"/>
        </w:rPr>
        <w:t xml:space="preserve"> - рекламные конструкции в виде объемных элементов, не имеющие плоских поверхностей, размер которых превышает 1x1 м. Выполняются по индивидуальным проектам, площадь информационного поля определяется расчетным путем.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u w:val="single"/>
          <w:rtl w:val="false"/>
        </w:rPr>
        <w:t xml:space="preserve">Стелы</w:t>
      </w:r>
      <w:r>
        <w:rPr>
          <w:sz w:val="24"/>
          <w:szCs w:val="24"/>
          <w:rtl w:val="false"/>
        </w:rPr>
        <w:t xml:space="preserve"> - отдельно стоящие рекламные конструкции крупного формата, имеющие внешние поверхности, предназначенные для размещения рекламы, используемые дл</w:t>
      </w:r>
      <w:r>
        <w:rPr>
          <w:sz w:val="24"/>
          <w:szCs w:val="24"/>
          <w:rtl w:val="false"/>
        </w:rPr>
        <w:t xml:space="preserve">я индивидуализации юридических лиц, товаров, работ и услуг, устанавливаемые вне места нахождения юридических лиц исключительно на земельных участках с целевым использованием под размещение и эксплуатацию многофункциональных торгово-развлекательных центров.</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Стеллы состоят из фундамента, опоры, каркаса, информационных полей. Количество сторон стелл не может быть менее двух и более трех. Стелы имеют внутренний или внешний подсвет.</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Допускаются к установке стелы следующих типов:</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 большая стела (габаритный размер по высоте не более 46 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 средняя стела (габаритный размер по высоте не более 30 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 малая стела (габаритный размер по высоте не более 15 м).</w:t>
      </w:r>
      <w:r/>
    </w:p>
    <w:p>
      <w:pPr>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Фундамент стелл не может выступать над уровнем дорожного покрытия или уровнем земли. При наличии подсветки стелы должны быть оборудованы системой аварийного отключения от сети электропитания и соответствовать требованиям пожарной безопасности.</w:t>
      </w:r>
      <w:r>
        <w:rPr>
          <w:i/>
          <w:sz w:val="24"/>
          <w:szCs w:val="24"/>
          <w:rtl w:val="false"/>
        </w:rPr>
        <w:t xml:space="preserve"> </w:t>
      </w:r>
      <w:r>
        <w:rPr>
          <w:sz w:val="24"/>
          <w:szCs w:val="24"/>
          <w:rtl w:val="false"/>
        </w:rPr>
        <w:t xml:space="preserve">На одной стороне стелы должно быть более одного внешнего информационного поля одинакового размера, размер которого не должен превышать 18 кв.м.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Размер верхнего (замыкающего) информационного поля стелы должен быть не менее площади одного нижестоящего информационного поля стелы и не более общей площади пяти нижестоящих информационных полей.</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13. </w:t>
      </w:r>
      <w:r>
        <w:rPr>
          <w:sz w:val="24"/>
          <w:szCs w:val="24"/>
          <w:u w:val="single"/>
          <w:rtl w:val="false"/>
        </w:rPr>
        <w:t xml:space="preserve">Крышные рекламные конструкции в виде отдельных букв и логотипов.</w:t>
      </w:r>
      <w:r>
        <w:rPr>
          <w:sz w:val="24"/>
          <w:szCs w:val="24"/>
          <w:rtl w:val="false"/>
        </w:rPr>
        <w:t xml:space="preserve"> Это </w:t>
      </w:r>
      <w:r>
        <w:rPr>
          <w:sz w:val="24"/>
          <w:szCs w:val="24"/>
          <w:rtl w:val="false"/>
        </w:rPr>
        <w:t xml:space="preserve">рекламные конструкции, присоединяемые к зданиям, размещаемые полностью или частично выше уровня карниза здания или на крыше, состоящие из отдельно стоящ</w:t>
      </w:r>
      <w:r>
        <w:rPr>
          <w:sz w:val="24"/>
          <w:szCs w:val="24"/>
          <w:rtl w:val="false"/>
        </w:rPr>
        <w:t xml:space="preserve">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Площадь информационного поля данного вида рекламных конструкций определяется расчетным путем.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Для крышных рекламных конструкций в виде отдельных букв и логотипов в обязательном порядке разрабатывается индивидуальный проект - рабочая проектная документация с целью обеспечения безопасности при установке, мон</w:t>
      </w:r>
      <w:r>
        <w:rPr>
          <w:sz w:val="24"/>
          <w:szCs w:val="24"/>
          <w:rtl w:val="false"/>
        </w:rPr>
        <w:t xml:space="preserve">таже и эксплуатации. 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14. </w:t>
      </w:r>
      <w:r>
        <w:rPr>
          <w:sz w:val="24"/>
          <w:szCs w:val="24"/>
          <w:u w:val="single"/>
          <w:rtl w:val="false"/>
        </w:rPr>
        <w:t xml:space="preserve">Медиафасады.</w:t>
      </w:r>
      <w:r>
        <w:rPr>
          <w:sz w:val="24"/>
          <w:szCs w:val="24"/>
          <w:rtl w:val="false"/>
        </w:rPr>
        <w:t xml:space="preserve"> Это рекламные конструкции крупного формата, присоединяемые к зданиям, размещаемые на фасадах, не имеющих декоративных архитектурных деталей. </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Медиафасад конструктивно состоит из сетки на </w:t>
      </w:r>
      <w:r>
        <w:rPr>
          <w:sz w:val="24"/>
          <w:szCs w:val="24"/>
          <w:rtl w:val="false"/>
        </w:rPr>
        <w:t xml:space="preserve">металлической или полимерной основе с интегрированными в нее светодиодными устройствами, позволяющие демонстрировать изображение. При размещении рекламной конструкции в виде медиафасад не должно нарушаться естественное освещение окон, нормативная инсоляция</w:t>
      </w:r>
      <w:r>
        <w:rPr>
          <w:sz w:val="24"/>
          <w:szCs w:val="24"/>
          <w:rtl w:val="false"/>
        </w:rPr>
        <w:t xml:space="preserve">. Площадь информационного поля медиафасада определяется индивидуально в зависимости от архитектуры здания, исходя из размеров фасада, на котором целесообразно размещение конструкции (сетки) без нарушения архитектурного облика существующей застройки города.</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Для размещения медиафасада на конкретном здании в обязательном порядке разрабатывается комплексный дизайн-проект рекламного оформления всего здания и техническая документация конструкции (сетки) с целью обеспечения безопасности при ее эксплуатации.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  Медиафасады должны быть оборудованы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15. </w:t>
      </w:r>
      <w:r>
        <w:rPr>
          <w:sz w:val="24"/>
          <w:szCs w:val="24"/>
          <w:u w:val="single"/>
          <w:rtl w:val="false"/>
        </w:rPr>
        <w:t xml:space="preserve">Брандмауэрные панно.</w:t>
      </w:r>
      <w:r>
        <w:rPr>
          <w:sz w:val="24"/>
          <w:szCs w:val="24"/>
          <w:rtl w:val="false"/>
        </w:rPr>
        <w:t xml:space="preserve"> Это рекламные конструкции крупного формата,  присоединяемые к зданиям, размещаемые исключительно на всей плоскости боковых глухих фасадов, не имеющих оконных проемов, витрин, архитектурных деталей, декоративного оформления здан</w:t>
      </w:r>
      <w:r>
        <w:rPr>
          <w:sz w:val="24"/>
          <w:szCs w:val="24"/>
          <w:rtl w:val="false"/>
        </w:rPr>
        <w:t xml:space="preserve">ий. Брандмауэрное панно состоит из элементов крепления к стене, каркаса и информационного поля. Площадь информационного поля брандмауэрного панно определяется габаритами каркаса рекламной конструкции и совпадает с габаритами бокового глухого фасада здания.</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При размещении каркаса рекламной конструкции для бокового глухого фасада отдельно стоящего здания, не примыкающего к другому зданию, допускается отступ по вертикали от отмостки здания в размере до 2,5 м.</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Брандмауэрные панно не размещаются на главных фасадах зданий, выходящих на красные линии, либо в сторону красных линий.</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Брандмауэрные панно должны иметь внутренний или внешний подсвет. Для брандмауэрных панно в обязательном порядке разрабатывается проек</w:t>
      </w:r>
      <w:r>
        <w:rPr>
          <w:sz w:val="24"/>
          <w:szCs w:val="24"/>
          <w:rtl w:val="false"/>
        </w:rPr>
        <w:t xml:space="preserve">т крепления рекламной конструкции с целью обеспечения безопасности при установке, монтаже и эксплуатации. Брандмауэрные панно должны быть оборудованы системой аварийного отключения от сети электропитания и соответствовать требованиям пожарной безопасности.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16. </w:t>
      </w:r>
      <w:r>
        <w:rPr>
          <w:sz w:val="24"/>
          <w:szCs w:val="24"/>
          <w:u w:val="single"/>
          <w:rtl w:val="false"/>
        </w:rPr>
        <w:t xml:space="preserve">Флагштоки.</w:t>
      </w:r>
      <w:r>
        <w:rPr>
          <w:sz w:val="24"/>
          <w:szCs w:val="24"/>
          <w:rtl w:val="false"/>
        </w:rPr>
        <w:t xml:space="preserve"> Это отдельно стоящие рекламные конструкции, состоящие из фундамента, опорной рамы</w:t>
      </w:r>
      <w:r>
        <w:rPr>
          <w:sz w:val="24"/>
          <w:szCs w:val="24"/>
          <w:rtl w:val="false"/>
        </w:rPr>
        <w:t xml:space="preserve">,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17. </w:t>
      </w:r>
      <w:r>
        <w:rPr>
          <w:sz w:val="24"/>
          <w:szCs w:val="24"/>
          <w:u w:val="single"/>
          <w:rtl w:val="false"/>
        </w:rPr>
        <w:t xml:space="preserve">Штендеры.</w:t>
      </w:r>
      <w:r>
        <w:rPr>
          <w:sz w:val="24"/>
          <w:szCs w:val="24"/>
          <w:rtl w:val="false"/>
        </w:rPr>
        <w:t xml:space="preserve"> Это отдельно стоящие рекламные конструкции малого формата, устанавливаемые не далее 2 м от главного входа в предприятия потребительского рынка в часы их работы.</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Штендеры должны быть двусторонними, не должны иметь собственной подсветки, площадь одной стороны не должна превышать 1,5 кв.м. Штендеры устанавливаются только в пешеходных зонах и на тротуарах.</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Запрещается установка и эксплуатация штендеров, мешающих проходу пешеходов, при ширине тротуара менее 2 м, а также ориентированных на восприятие с проезжей части.</w:t>
      </w:r>
      <w:r/>
    </w:p>
    <w:p>
      <w:pPr>
        <w:ind w:left="0" w:firstLine="0"/>
        <w:shd w:val="clear" w:fill="FFFFFF" w:color="auto"/>
        <w:rPr>
          <w:sz w:val="24"/>
          <w:szCs w:val="24"/>
        </w:rPr>
        <w:pBdr>
          <w:left w:val="none" w:sz="0" w:space="66" w:color="auto"/>
          <w:top w:val="none" w:sz="0" w:space="0" w:color="auto"/>
          <w:right w:val="none" w:sz="0" w:space="42" w:color="auto"/>
          <w:bottom w:val="none" w:sz="0" w:space="0" w:color="auto"/>
          <w:between w:val="none" w:sz="0" w:space="0" w:color="auto"/>
        </w:pBdr>
      </w:pPr>
      <w:r>
        <w:rPr>
          <w:sz w:val="24"/>
          <w:szCs w:val="24"/>
          <w:rtl w:val="false"/>
        </w:rPr>
        <w:t xml:space="preserve">Не допускается установ</w:t>
      </w:r>
      <w:r>
        <w:rPr>
          <w:sz w:val="24"/>
          <w:szCs w:val="24"/>
          <w:rtl w:val="false"/>
        </w:rPr>
        <w:t xml:space="preserve">ка и эксплуатация более двух штендеров у входа в предприятие, а также использование штендеров в качестве дополнительной рекламной конструкции при наличии хорошо просматриваемых с тротуара вывески и витрин (за исключением предприятий общественного питания).</w:t>
      </w:r>
      <w:r/>
    </w:p>
    <w:p>
      <w:pPr>
        <w:rPr>
          <w:sz w:val="24"/>
          <w:szCs w:val="24"/>
        </w:rPr>
      </w:pPr>
      <w:r>
        <w:rPr>
          <w:rtl w:val="false"/>
        </w:rPr>
      </w:r>
      <w:r/>
    </w:p>
    <w:p>
      <w:pPr>
        <w:rPr>
          <w:sz w:val="24"/>
          <w:szCs w:val="24"/>
          <w:highlight w:val="white"/>
        </w:rPr>
      </w:pPr>
      <w:r>
        <w:rPr>
          <w:b/>
          <w:sz w:val="24"/>
          <w:szCs w:val="24"/>
          <w:rtl w:val="false"/>
        </w:rPr>
        <w:t xml:space="preserve">Особые требования</w:t>
      </w:r>
      <w:r>
        <w:rPr>
          <w:sz w:val="24"/>
          <w:szCs w:val="24"/>
          <w:rtl w:val="false"/>
        </w:rPr>
        <w:t xml:space="preserve">, не указанные выше, будут предъявлены только к объектам культурного наследия. Список постоянно обновляется, рекомендую запрашивать его по факту согласования в</w:t>
      </w:r>
      <w:r>
        <w:rPr>
          <w:sz w:val="24"/>
          <w:szCs w:val="24"/>
          <w:rtl w:val="false"/>
        </w:rPr>
        <w:t xml:space="preserve"> </w:t>
      </w:r>
      <w:r>
        <w:rPr>
          <w:sz w:val="24"/>
          <w:szCs w:val="24"/>
          <w:highlight w:val="white"/>
          <w:rtl w:val="false"/>
        </w:rPr>
        <w:t xml:space="preserve">Управлении государственной охраны объектов культурного наследия Нижегородской области.</w:t>
      </w:r>
      <w:r/>
    </w:p>
    <w:p>
      <w:pPr>
        <w:rPr>
          <w:sz w:val="24"/>
          <w:szCs w:val="24"/>
          <w:highlight w:val="white"/>
        </w:rPr>
      </w:pPr>
      <w:r>
        <w:rPr>
          <w:rtl w:val="false"/>
        </w:rPr>
      </w:r>
      <w:r/>
    </w:p>
    <w:p>
      <w:pPr>
        <w:shd w:val="clear" w:fill="FFFFFF" w:color="auto"/>
        <w:rPr>
          <w:sz w:val="20"/>
          <w:szCs w:val="20"/>
          <w:highlight w:val="white"/>
        </w:rPr>
        <w:pBdr>
          <w:left w:val="none" w:sz="0" w:space="66" w:color="auto"/>
          <w:top w:val="none" w:sz="0" w:space="0" w:color="auto"/>
          <w:right w:val="none" w:sz="0" w:space="42" w:color="auto"/>
          <w:bottom w:val="none" w:sz="0" w:space="0" w:color="auto"/>
          <w:between w:val="none" w:sz="0" w:space="0" w:color="auto"/>
        </w:pBdr>
      </w:pPr>
      <w:r>
        <w:rPr>
          <w:sz w:val="20"/>
          <w:szCs w:val="20"/>
          <w:highlight w:val="white"/>
          <w:rtl w:val="false"/>
        </w:rPr>
        <w:t xml:space="preserve">Источник информации - </w:t>
      </w:r>
      <w:hyperlink r:id="rId9" w:tooltip="https://docs.cntd.ru/document/944960640" w:history="1">
        <w:r>
          <w:rPr>
            <w:color w:val="1155CC"/>
            <w:sz w:val="20"/>
            <w:szCs w:val="20"/>
            <w:highlight w:val="white"/>
            <w:u w:val="single"/>
            <w:rtl w:val="false"/>
          </w:rPr>
          <w:t xml:space="preserve">Электронный х и нормативно-технических документов.</w:t>
        </w:r>
      </w:hyperlink>
      <w:r>
        <w:rPr>
          <w:rtl w:val="false"/>
        </w:rPr>
      </w:r>
      <w:r/>
    </w:p>
    <w:p>
      <w:pPr>
        <w:rPr>
          <w:sz w:val="24"/>
          <w:szCs w:val="24"/>
          <w:highlight w:val="white"/>
        </w:rPr>
      </w:pPr>
      <w:r>
        <w:rPr>
          <w:rtl w:val="false"/>
        </w:rPr>
      </w:r>
      <w:r/>
    </w:p>
    <w:sectPr>
      <w:footnotePr/>
      <w:endnotePr/>
      <w:type w:val="nextPage"/>
      <w:pgSz w:w="11909" w:h="16834" w:orient="portrait"/>
      <w:pgMar w:top="1440" w:right="1440" w:bottom="1440" w:left="1440" w:header="720" w:footer="720"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ru" w:bidi="ar-SA" w:eastAsia="zh-CN"/>
      </w:rPr>
    </w:rPrDefault>
    <w:pPrDefault>
      <w:pPr>
        <w:spacing w:lineRule="auto" w:line="276" w:after="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9"/>
    <w:link w:val="605"/>
    <w:uiPriority w:val="9"/>
    <w:rPr>
      <w:rFonts w:ascii="Arial" w:hAnsi="Arial" w:cs="Arial" w:eastAsia="Arial"/>
      <w:sz w:val="40"/>
      <w:szCs w:val="40"/>
    </w:rPr>
  </w:style>
  <w:style w:type="character" w:styleId="14">
    <w:name w:val="Heading 2 Char"/>
    <w:basedOn w:val="9"/>
    <w:link w:val="606"/>
    <w:uiPriority w:val="9"/>
    <w:rPr>
      <w:rFonts w:ascii="Arial" w:hAnsi="Arial" w:cs="Arial" w:eastAsia="Arial"/>
      <w:sz w:val="34"/>
    </w:rPr>
  </w:style>
  <w:style w:type="character" w:styleId="16">
    <w:name w:val="Heading 3 Char"/>
    <w:basedOn w:val="9"/>
    <w:link w:val="607"/>
    <w:uiPriority w:val="9"/>
    <w:rPr>
      <w:rFonts w:ascii="Arial" w:hAnsi="Arial" w:cs="Arial" w:eastAsia="Arial"/>
      <w:sz w:val="30"/>
      <w:szCs w:val="30"/>
    </w:rPr>
  </w:style>
  <w:style w:type="character" w:styleId="18">
    <w:name w:val="Heading 4 Char"/>
    <w:basedOn w:val="9"/>
    <w:link w:val="608"/>
    <w:uiPriority w:val="9"/>
    <w:rPr>
      <w:rFonts w:ascii="Arial" w:hAnsi="Arial" w:cs="Arial" w:eastAsia="Arial"/>
      <w:b/>
      <w:bCs/>
      <w:sz w:val="26"/>
      <w:szCs w:val="26"/>
    </w:rPr>
  </w:style>
  <w:style w:type="character" w:styleId="20">
    <w:name w:val="Heading 5 Char"/>
    <w:basedOn w:val="9"/>
    <w:link w:val="609"/>
    <w:uiPriority w:val="9"/>
    <w:rPr>
      <w:rFonts w:ascii="Arial" w:hAnsi="Arial" w:cs="Arial" w:eastAsia="Arial"/>
      <w:b/>
      <w:bCs/>
      <w:sz w:val="24"/>
      <w:szCs w:val="24"/>
    </w:rPr>
  </w:style>
  <w:style w:type="character" w:styleId="22">
    <w:name w:val="Heading 6 Char"/>
    <w:basedOn w:val="9"/>
    <w:link w:val="610"/>
    <w:uiPriority w:val="9"/>
    <w:rPr>
      <w:rFonts w:ascii="Arial" w:hAnsi="Arial" w:cs="Arial" w:eastAsia="Arial"/>
      <w:b/>
      <w:bCs/>
      <w:sz w:val="22"/>
      <w:szCs w:val="22"/>
    </w:rPr>
  </w:style>
  <w:style w:type="paragraph" w:styleId="23">
    <w:name w:val="Heading 7"/>
    <w:basedOn w:val="603"/>
    <w:next w:val="603"/>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603"/>
    <w:next w:val="603"/>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603"/>
    <w:next w:val="603"/>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603"/>
    <w:qFormat/>
    <w:uiPriority w:val="34"/>
    <w:pPr>
      <w:contextualSpacing w:val="true"/>
      <w:ind w:left="720"/>
    </w:pPr>
  </w:style>
  <w:style w:type="table" w:styleId="30">
    <w:name w:val="Normal Table"/>
    <w:uiPriority w:val="99"/>
    <w:semiHidden/>
    <w:unhideWhenUsed/>
    <w:tblPr>
      <w:tblInd w:w="0" w:type="dxa"/>
      <w:tblCellMar>
        <w:left w:w="108" w:type="dxa"/>
        <w:top w:w="0" w:type="dxa"/>
        <w:right w:w="108" w:type="dxa"/>
        <w:bottom w:w="0" w:type="dxa"/>
      </w:tblCellMar>
    </w:tblPr>
  </w:style>
  <w:style w:type="paragraph" w:styleId="31">
    <w:name w:val="No Spacing"/>
    <w:qFormat/>
    <w:uiPriority w:val="1"/>
    <w:pPr>
      <w:spacing w:lineRule="auto" w:line="240" w:after="0" w:before="0"/>
    </w:pPr>
  </w:style>
  <w:style w:type="character" w:styleId="33">
    <w:name w:val="Title Char"/>
    <w:basedOn w:val="9"/>
    <w:link w:val="611"/>
    <w:uiPriority w:val="10"/>
    <w:rPr>
      <w:sz w:val="48"/>
      <w:szCs w:val="48"/>
    </w:rPr>
  </w:style>
  <w:style w:type="character" w:styleId="35">
    <w:name w:val="Subtitle Char"/>
    <w:basedOn w:val="9"/>
    <w:link w:val="612"/>
    <w:uiPriority w:val="11"/>
    <w:rPr>
      <w:sz w:val="24"/>
      <w:szCs w:val="24"/>
    </w:rPr>
  </w:style>
  <w:style w:type="paragraph" w:styleId="36">
    <w:name w:val="Quote"/>
    <w:basedOn w:val="603"/>
    <w:next w:val="603"/>
    <w:link w:val="37"/>
    <w:qFormat/>
    <w:uiPriority w:val="29"/>
    <w:rPr>
      <w:i/>
    </w:rPr>
    <w:pPr>
      <w:ind w:left="720" w:right="720"/>
    </w:pPr>
  </w:style>
  <w:style w:type="character" w:styleId="37">
    <w:name w:val="Quote Char"/>
    <w:link w:val="36"/>
    <w:uiPriority w:val="29"/>
    <w:rPr>
      <w:i/>
    </w:rPr>
  </w:style>
  <w:style w:type="paragraph" w:styleId="38">
    <w:name w:val="Intense Quote"/>
    <w:basedOn w:val="603"/>
    <w:next w:val="603"/>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603"/>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603"/>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603"/>
    <w:next w:val="603"/>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30"/>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0"/>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0"/>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0"/>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0"/>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0"/>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0"/>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603"/>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603"/>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603"/>
    <w:next w:val="603"/>
    <w:uiPriority w:val="39"/>
    <w:unhideWhenUsed/>
    <w:pPr>
      <w:ind w:left="0" w:right="0" w:firstLine="0"/>
      <w:spacing w:after="57"/>
    </w:pPr>
  </w:style>
  <w:style w:type="paragraph" w:styleId="180">
    <w:name w:val="toc 2"/>
    <w:basedOn w:val="603"/>
    <w:next w:val="603"/>
    <w:uiPriority w:val="39"/>
    <w:unhideWhenUsed/>
    <w:pPr>
      <w:ind w:left="283" w:right="0" w:firstLine="0"/>
      <w:spacing w:after="57"/>
    </w:pPr>
  </w:style>
  <w:style w:type="paragraph" w:styleId="181">
    <w:name w:val="toc 3"/>
    <w:basedOn w:val="603"/>
    <w:next w:val="603"/>
    <w:uiPriority w:val="39"/>
    <w:unhideWhenUsed/>
    <w:pPr>
      <w:ind w:left="567" w:right="0" w:firstLine="0"/>
      <w:spacing w:after="57"/>
    </w:pPr>
  </w:style>
  <w:style w:type="paragraph" w:styleId="182">
    <w:name w:val="toc 4"/>
    <w:basedOn w:val="603"/>
    <w:next w:val="603"/>
    <w:uiPriority w:val="39"/>
    <w:unhideWhenUsed/>
    <w:pPr>
      <w:ind w:left="850" w:right="0" w:firstLine="0"/>
      <w:spacing w:after="57"/>
    </w:pPr>
  </w:style>
  <w:style w:type="paragraph" w:styleId="183">
    <w:name w:val="toc 5"/>
    <w:basedOn w:val="603"/>
    <w:next w:val="603"/>
    <w:uiPriority w:val="39"/>
    <w:unhideWhenUsed/>
    <w:pPr>
      <w:ind w:left="1134" w:right="0" w:firstLine="0"/>
      <w:spacing w:after="57"/>
    </w:pPr>
  </w:style>
  <w:style w:type="paragraph" w:styleId="184">
    <w:name w:val="toc 6"/>
    <w:basedOn w:val="603"/>
    <w:next w:val="603"/>
    <w:uiPriority w:val="39"/>
    <w:unhideWhenUsed/>
    <w:pPr>
      <w:ind w:left="1417" w:right="0" w:firstLine="0"/>
      <w:spacing w:after="57"/>
    </w:pPr>
  </w:style>
  <w:style w:type="paragraph" w:styleId="185">
    <w:name w:val="toc 7"/>
    <w:basedOn w:val="603"/>
    <w:next w:val="603"/>
    <w:uiPriority w:val="39"/>
    <w:unhideWhenUsed/>
    <w:pPr>
      <w:ind w:left="1701" w:right="0" w:firstLine="0"/>
      <w:spacing w:after="57"/>
    </w:pPr>
  </w:style>
  <w:style w:type="paragraph" w:styleId="186">
    <w:name w:val="toc 8"/>
    <w:basedOn w:val="603"/>
    <w:next w:val="603"/>
    <w:uiPriority w:val="39"/>
    <w:unhideWhenUsed/>
    <w:pPr>
      <w:ind w:left="1984" w:right="0" w:firstLine="0"/>
      <w:spacing w:after="57"/>
    </w:pPr>
  </w:style>
  <w:style w:type="paragraph" w:styleId="187">
    <w:name w:val="toc 9"/>
    <w:basedOn w:val="603"/>
    <w:next w:val="603"/>
    <w:uiPriority w:val="39"/>
    <w:unhideWhenUsed/>
    <w:pPr>
      <w:ind w:left="2268" w:right="0" w:firstLine="0"/>
      <w:spacing w:after="57"/>
    </w:pPr>
  </w:style>
  <w:style w:type="paragraph" w:styleId="188">
    <w:name w:val="TOC Heading"/>
    <w:uiPriority w:val="39"/>
    <w:unhideWhenUsed/>
  </w:style>
  <w:style w:type="paragraph" w:styleId="189">
    <w:name w:val="table of figures"/>
    <w:basedOn w:val="603"/>
    <w:next w:val="603"/>
    <w:uiPriority w:val="99"/>
    <w:unhideWhenUsed/>
    <w:pPr>
      <w:spacing w:after="0" w:afterAutospacing="0"/>
    </w:pPr>
  </w:style>
  <w:style w:type="paragraph" w:styleId="603" w:default="1">
    <w:name w:val="Normal"/>
  </w:style>
  <w:style w:type="table" w:styleId="604" w:default="1">
    <w:name w:val="Table Normal"/>
    <w:tblPr/>
  </w:style>
  <w:style w:type="paragraph" w:styleId="605">
    <w:name w:val="Heading 1"/>
    <w:basedOn w:val="603"/>
    <w:next w:val="603"/>
    <w:rPr>
      <w:sz w:val="40"/>
      <w:szCs w:val="40"/>
    </w:rPr>
    <w:pPr>
      <w:keepLines/>
      <w:keepNext/>
      <w:spacing w:after="120" w:before="400"/>
    </w:pPr>
  </w:style>
  <w:style w:type="paragraph" w:styleId="606">
    <w:name w:val="Heading 2"/>
    <w:basedOn w:val="603"/>
    <w:next w:val="603"/>
    <w:rPr>
      <w:b w:val="false"/>
      <w:sz w:val="32"/>
      <w:szCs w:val="32"/>
    </w:rPr>
    <w:pPr>
      <w:keepLines/>
      <w:keepNext/>
      <w:spacing w:after="120" w:before="360"/>
    </w:pPr>
  </w:style>
  <w:style w:type="paragraph" w:styleId="607">
    <w:name w:val="Heading 3"/>
    <w:basedOn w:val="603"/>
    <w:next w:val="603"/>
    <w:rPr>
      <w:b w:val="false"/>
      <w:color w:val="434343"/>
      <w:sz w:val="28"/>
      <w:szCs w:val="28"/>
    </w:rPr>
    <w:pPr>
      <w:keepLines/>
      <w:keepNext/>
      <w:spacing w:after="80" w:before="320"/>
    </w:pPr>
  </w:style>
  <w:style w:type="paragraph" w:styleId="608">
    <w:name w:val="Heading 4"/>
    <w:basedOn w:val="603"/>
    <w:next w:val="603"/>
    <w:rPr>
      <w:color w:val="666666"/>
      <w:sz w:val="24"/>
      <w:szCs w:val="24"/>
    </w:rPr>
    <w:pPr>
      <w:keepLines/>
      <w:keepNext/>
      <w:spacing w:after="80" w:before="280"/>
    </w:pPr>
  </w:style>
  <w:style w:type="paragraph" w:styleId="609">
    <w:name w:val="Heading 5"/>
    <w:basedOn w:val="603"/>
    <w:next w:val="603"/>
    <w:rPr>
      <w:color w:val="666666"/>
      <w:sz w:val="22"/>
      <w:szCs w:val="22"/>
    </w:rPr>
    <w:pPr>
      <w:keepLines/>
      <w:keepNext/>
      <w:spacing w:after="80" w:before="240"/>
    </w:pPr>
  </w:style>
  <w:style w:type="paragraph" w:styleId="610">
    <w:name w:val="Heading 6"/>
    <w:basedOn w:val="603"/>
    <w:next w:val="603"/>
    <w:rPr>
      <w:i/>
      <w:color w:val="666666"/>
      <w:sz w:val="22"/>
      <w:szCs w:val="22"/>
    </w:rPr>
    <w:pPr>
      <w:keepLines/>
      <w:keepNext/>
      <w:spacing w:after="80" w:before="240"/>
    </w:pPr>
  </w:style>
  <w:style w:type="paragraph" w:styleId="611">
    <w:name w:val="Title"/>
    <w:basedOn w:val="603"/>
    <w:next w:val="603"/>
    <w:rPr>
      <w:sz w:val="52"/>
      <w:szCs w:val="52"/>
    </w:rPr>
    <w:pPr>
      <w:keepLines/>
      <w:keepNext/>
      <w:spacing w:after="60" w:before="0"/>
    </w:pPr>
  </w:style>
  <w:style w:type="paragraph" w:styleId="612">
    <w:name w:val="Subtitle"/>
    <w:basedOn w:val="603"/>
    <w:next w:val="603"/>
    <w:rPr>
      <w:rFonts w:ascii="Arial" w:hAnsi="Arial" w:cs="Arial" w:eastAsia="Arial"/>
      <w:i w:val="false"/>
      <w:color w:val="666666"/>
      <w:sz w:val="30"/>
      <w:szCs w:val="30"/>
    </w:rPr>
    <w:pPr>
      <w:keepLines/>
      <w:keepNext/>
      <w:spacing w:after="320" w:before="0"/>
    </w:pPr>
  </w:style>
  <w:style w:type="character" w:styleId="908" w:default="1">
    <w:name w:val="Default Paragraph Font"/>
    <w:uiPriority w:val="1"/>
    <w:semiHidden/>
    <w:unhideWhenUsed/>
  </w:style>
  <w:style w:type="numbering" w:styleId="90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docs.cntd.ru/document/9449606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R7-Office/6.3.1.43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